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C16B5" w14:textId="77777777" w:rsidR="00CD6753" w:rsidRPr="00945ED5" w:rsidRDefault="002214AE" w:rsidP="00945ED5">
      <w:pPr>
        <w:spacing w:after="40"/>
        <w:jc w:val="center"/>
        <w:rPr>
          <w:rFonts w:ascii="Calibri" w:hAnsi="Calibri" w:cs="Calibri"/>
          <w:color w:val="0070C0"/>
          <w:sz w:val="28"/>
          <w:szCs w:val="28"/>
        </w:rPr>
      </w:pPr>
      <w:r>
        <w:rPr>
          <w:rFonts w:ascii="Calibri" w:hAnsi="Calibri" w:cs="Calibri"/>
          <w:b/>
          <w:bCs/>
          <w:color w:val="0070C0"/>
          <w:sz w:val="28"/>
          <w:szCs w:val="28"/>
        </w:rPr>
        <w:t>ANNEX E</w:t>
      </w:r>
    </w:p>
    <w:p w14:paraId="244FC312" w14:textId="77777777" w:rsidR="00CD6753" w:rsidRPr="00945ED5" w:rsidRDefault="002214AE" w:rsidP="00945ED5">
      <w:pPr>
        <w:spacing w:after="60"/>
        <w:jc w:val="center"/>
        <w:rPr>
          <w:rFonts w:ascii="Calibri" w:hAnsi="Calibri" w:cs="Calibri"/>
          <w:color w:val="0070C0"/>
          <w:sz w:val="28"/>
          <w:szCs w:val="28"/>
        </w:rPr>
      </w:pPr>
      <w:r>
        <w:rPr>
          <w:rFonts w:ascii="Calibri" w:hAnsi="Calibri" w:cs="Calibri"/>
          <w:b/>
          <w:bCs/>
          <w:color w:val="0070C0"/>
          <w:sz w:val="28"/>
          <w:szCs w:val="28"/>
        </w:rPr>
        <w:t>Workmanship, Safety, Testing and Handover Requirements</w:t>
      </w:r>
    </w:p>
    <w:p w14:paraId="22FB4E8D" w14:textId="77777777" w:rsidR="00CD6753" w:rsidRPr="00945ED5" w:rsidRDefault="002214AE" w:rsidP="00945ED5">
      <w:pPr>
        <w:pBdr>
          <w:bottom w:val="single" w:sz="10" w:space="4" w:color="1F3864"/>
        </w:pBdr>
        <w:spacing w:after="200"/>
        <w:jc w:val="center"/>
        <w:rPr>
          <w:rFonts w:ascii="Calibri" w:hAnsi="Calibri" w:cs="Calibri"/>
          <w:b/>
          <w:bCs/>
          <w:color w:val="000000" w:themeColor="text1"/>
          <w:sz w:val="22"/>
          <w:szCs w:val="22"/>
        </w:rPr>
      </w:pPr>
      <w:r>
        <w:rPr>
          <w:rFonts w:ascii="Calibri" w:hAnsi="Calibri" w:cs="Calibri"/>
          <w:b/>
          <w:bCs/>
          <w:color w:val="000000" w:themeColor="text1"/>
          <w:sz w:val="22"/>
          <w:szCs w:val="22"/>
        </w:rPr>
        <w:t>Electrical distribution, earthing, testing and commissioning works – UNHCR Humanitarian Hub, Nyinyang · Revised November 2026</w:t>
      </w:r>
    </w:p>
    <w:p w14:paraId="1E0135DD" w14:textId="77777777" w:rsidR="00CD6753" w:rsidRPr="00945ED5" w:rsidRDefault="002214AE" w:rsidP="00945ED5">
      <w:pPr>
        <w:spacing w:after="100" w:line="264" w:lineRule="auto"/>
        <w:jc w:val="both"/>
        <w:rPr>
          <w:rFonts w:ascii="Calibri" w:hAnsi="Calibri" w:cs="Calibri"/>
          <w:sz w:val="22"/>
          <w:szCs w:val="22"/>
        </w:rPr>
      </w:pPr>
      <w:r>
        <w:rPr>
          <w:rFonts w:ascii="Calibri" w:hAnsi="Calibri" w:cs="Calibri"/>
          <w:sz w:val="22"/>
          <w:szCs w:val="22"/>
        </w:rPr>
        <w:t>This annex sets the minimum standard of work. The depths and mounting heights below are project requirements; the UNHCR-designated engineer may adjust them in writing for actual site conditions.</w:t>
      </w:r>
    </w:p>
    <w:p w14:paraId="2F7C336E"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1. Standards</w:t>
      </w:r>
    </w:p>
    <w:p w14:paraId="4ACDDC20" w14:textId="77777777" w:rsidR="00CD6753" w:rsidRPr="00945ED5" w:rsidRDefault="002214AE" w:rsidP="00945ED5">
      <w:pPr>
        <w:spacing w:after="100" w:line="264" w:lineRule="auto"/>
        <w:jc w:val="both"/>
        <w:rPr>
          <w:rFonts w:ascii="Calibri" w:hAnsi="Calibri" w:cs="Calibri"/>
          <w:sz w:val="22"/>
          <w:szCs w:val="22"/>
        </w:rPr>
      </w:pPr>
      <w:r>
        <w:rPr>
          <w:rFonts w:ascii="Calibri" w:hAnsi="Calibri" w:cs="Calibri"/>
          <w:sz w:val="22"/>
          <w:szCs w:val="22"/>
        </w:rPr>
        <w:t>Work must comply with the approved drawings (Annex C: drawing E.1, Electrical Site Plan, dated 12 October 2026, and the prefab electrical drawings), applicable Ethiopian requirements, the manufacturers' instructions and the following parts of IEC 60364:</w:t>
      </w:r>
    </w:p>
    <w:tbl>
      <w:tblPr>
        <w:tblW w:w="6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85"/>
        <w:gridCol w:w="5040"/>
      </w:tblGrid>
      <w:tr w:rsidR="00CD6753" w:rsidRPr="00945ED5" w14:paraId="1BFAE1C8" w14:textId="77777777" w:rsidTr="00945ED5">
        <w:trPr>
          <w:cantSplit/>
          <w:trHeight w:val="348"/>
          <w:tblHeader/>
        </w:trPr>
        <w:tc>
          <w:tcPr>
            <w:tcW w:w="1885"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5682974F"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Standard</w:t>
            </w:r>
          </w:p>
        </w:tc>
        <w:tc>
          <w:tcPr>
            <w:tcW w:w="5040"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6AF389D0"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Subject</w:t>
            </w:r>
          </w:p>
        </w:tc>
      </w:tr>
      <w:tr w:rsidR="00CD6753" w:rsidRPr="00945ED5" w14:paraId="6A60D0C4" w14:textId="77777777" w:rsidTr="00945ED5">
        <w:trPr>
          <w:cantSplit/>
          <w:trHeight w:val="348"/>
        </w:trPr>
        <w:tc>
          <w:tcPr>
            <w:tcW w:w="1885"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2B47AD2"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IEC 60364-4-41</w:t>
            </w:r>
          </w:p>
        </w:tc>
        <w:tc>
          <w:tcPr>
            <w:tcW w:w="504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0D87080"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Protection against electric shock</w:t>
            </w:r>
          </w:p>
        </w:tc>
      </w:tr>
      <w:tr w:rsidR="00CD6753" w:rsidRPr="00945ED5" w14:paraId="6F68EBD5" w14:textId="77777777" w:rsidTr="00945ED5">
        <w:trPr>
          <w:cantSplit/>
          <w:trHeight w:val="348"/>
        </w:trPr>
        <w:tc>
          <w:tcPr>
            <w:tcW w:w="1885"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F35E01F"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IEC 60364-5-52</w:t>
            </w:r>
          </w:p>
        </w:tc>
        <w:tc>
          <w:tcPr>
            <w:tcW w:w="504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0E3D4D5"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Selection and installation of cables and wiring</w:t>
            </w:r>
          </w:p>
        </w:tc>
      </w:tr>
      <w:tr w:rsidR="00CD6753" w:rsidRPr="00945ED5" w14:paraId="3B96F122" w14:textId="77777777" w:rsidTr="00945ED5">
        <w:trPr>
          <w:cantSplit/>
          <w:trHeight w:val="348"/>
        </w:trPr>
        <w:tc>
          <w:tcPr>
            <w:tcW w:w="1885"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72C3F58"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IEC 60364-5-54</w:t>
            </w:r>
          </w:p>
        </w:tc>
        <w:tc>
          <w:tcPr>
            <w:tcW w:w="504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786DB46"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Earthing arrangements and protective conductors</w:t>
            </w:r>
          </w:p>
        </w:tc>
      </w:tr>
      <w:tr w:rsidR="00CD6753" w:rsidRPr="00945ED5" w14:paraId="491E1059" w14:textId="77777777" w:rsidTr="00945ED5">
        <w:trPr>
          <w:cantSplit/>
          <w:trHeight w:val="348"/>
        </w:trPr>
        <w:tc>
          <w:tcPr>
            <w:tcW w:w="1885"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8AD83FD"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IEC 60364-6</w:t>
            </w:r>
          </w:p>
        </w:tc>
        <w:tc>
          <w:tcPr>
            <w:tcW w:w="504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3AD4433"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Inspection, testing and verification</w:t>
            </w:r>
          </w:p>
        </w:tc>
      </w:tr>
      <w:tr w:rsidR="00CD6753" w:rsidRPr="00945ED5" w14:paraId="6D416B61" w14:textId="77777777" w:rsidTr="00945ED5">
        <w:trPr>
          <w:cantSplit/>
          <w:trHeight w:val="348"/>
        </w:trPr>
        <w:tc>
          <w:tcPr>
            <w:tcW w:w="1885"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1660C89"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IEC 60364-7-701</w:t>
            </w:r>
          </w:p>
        </w:tc>
        <w:tc>
          <w:tcPr>
            <w:tcW w:w="504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2FBB451"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Locations containing a bath or shower</w:t>
            </w:r>
          </w:p>
        </w:tc>
      </w:tr>
    </w:tbl>
    <w:p w14:paraId="01C14DEC" w14:textId="77777777" w:rsidR="00CD6753" w:rsidRPr="00945ED5" w:rsidRDefault="00CD6753" w:rsidP="00945ED5">
      <w:pPr>
        <w:spacing w:after="60"/>
        <w:jc w:val="both"/>
        <w:rPr>
          <w:rFonts w:ascii="Calibri" w:hAnsi="Calibri" w:cs="Calibri"/>
          <w:sz w:val="22"/>
          <w:szCs w:val="22"/>
        </w:rPr>
      </w:pPr>
    </w:p>
    <w:p w14:paraId="6FD6F694" w14:textId="77777777" w:rsidR="00CD6753" w:rsidRPr="00945ED5" w:rsidRDefault="002214AE" w:rsidP="00945ED5">
      <w:pPr>
        <w:spacing w:after="100" w:line="264" w:lineRule="auto"/>
        <w:jc w:val="both"/>
        <w:rPr>
          <w:rFonts w:ascii="Calibri" w:hAnsi="Calibri" w:cs="Calibri"/>
          <w:sz w:val="22"/>
          <w:szCs w:val="22"/>
        </w:rPr>
      </w:pPr>
      <w:r>
        <w:rPr>
          <w:rFonts w:ascii="Calibri" w:hAnsi="Calibri" w:cs="Calibri"/>
          <w:sz w:val="22"/>
          <w:szCs w:val="22"/>
        </w:rPr>
        <w:t>Any conflict between drawings, standards, site conditions and instructions must be referred in writing to the supervising engineer before the affected work starts. All electrical work is carried out by qualified electricians under the full-time site supervisor.</w:t>
      </w:r>
    </w:p>
    <w:p w14:paraId="24BE6D2D"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2. Materials</w:t>
      </w:r>
    </w:p>
    <w:p w14:paraId="386F26FF"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Install only materials supplied by UNHCR (Annex F) or approved in writing. The contractor-supplied duct (Annex B, item B3) must be of the same type as Q30057 and approved before installation.</w:t>
      </w:r>
    </w:p>
    <w:p w14:paraId="1B37E1B3"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Check each item for damage, correct rating and suitability for its location before installing it. An item being available does not make it suitable.</w:t>
      </w:r>
    </w:p>
    <w:p w14:paraId="49DA5A6E"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Use the cable types and sizes shown on the drawings. Never reduce cable sizes, omit protective earth or bypass protective devices to make up for missing materials.</w:t>
      </w:r>
    </w:p>
    <w:p w14:paraId="58CC15F6"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Keep unused materials secure and return them at handover.</w:t>
      </w:r>
    </w:p>
    <w:p w14:paraId="28735CB4"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3. Underground cables and ducts</w:t>
      </w:r>
    </w:p>
    <w:tbl>
      <w:tblPr>
        <w:tblW w:w="6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85"/>
        <w:gridCol w:w="3780"/>
      </w:tblGrid>
      <w:tr w:rsidR="00CD6753" w:rsidRPr="00945ED5" w14:paraId="32E928E1" w14:textId="77777777" w:rsidTr="00945ED5">
        <w:trPr>
          <w:cantSplit/>
          <w:tblHeader/>
        </w:trPr>
        <w:tc>
          <w:tcPr>
            <w:tcW w:w="2785"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6CB8332A"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Location</w:t>
            </w:r>
          </w:p>
        </w:tc>
        <w:tc>
          <w:tcPr>
            <w:tcW w:w="3780"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718FC0ED"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Minimum cover to top of cable or duct</w:t>
            </w:r>
          </w:p>
        </w:tc>
      </w:tr>
      <w:tr w:rsidR="00CD6753" w:rsidRPr="00945ED5" w14:paraId="30BA78C9" w14:textId="77777777" w:rsidTr="00945ED5">
        <w:trPr>
          <w:cantSplit/>
        </w:trPr>
        <w:tc>
          <w:tcPr>
            <w:tcW w:w="2785"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5D1FF0E"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Areas without vehicle traffic</w:t>
            </w:r>
          </w:p>
        </w:tc>
        <w:tc>
          <w:tcPr>
            <w:tcW w:w="378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4328238"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600 mm</w:t>
            </w:r>
          </w:p>
        </w:tc>
      </w:tr>
      <w:tr w:rsidR="00CD6753" w:rsidRPr="00945ED5" w14:paraId="54D5CE37" w14:textId="77777777" w:rsidTr="00945ED5">
        <w:trPr>
          <w:cantSplit/>
        </w:trPr>
        <w:tc>
          <w:tcPr>
            <w:tcW w:w="2785"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CB873B5"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Road crossings and vehicle areas</w:t>
            </w:r>
          </w:p>
        </w:tc>
        <w:tc>
          <w:tcPr>
            <w:tcW w:w="378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B3BEBE7"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800 mm, with load-rated duct or mechanical protection</w:t>
            </w:r>
          </w:p>
        </w:tc>
      </w:tr>
    </w:tbl>
    <w:p w14:paraId="2954F0E5" w14:textId="77777777" w:rsidR="00CD6753" w:rsidRPr="00945ED5" w:rsidRDefault="00CD6753" w:rsidP="00945ED5">
      <w:pPr>
        <w:spacing w:after="60"/>
        <w:jc w:val="both"/>
        <w:rPr>
          <w:rFonts w:ascii="Calibri" w:hAnsi="Calibri" w:cs="Calibri"/>
          <w:sz w:val="22"/>
          <w:szCs w:val="22"/>
        </w:rPr>
      </w:pPr>
    </w:p>
    <w:p w14:paraId="3AAA3DA9"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Locate existing underground services before excavating. Dig by hand near known services.</w:t>
      </w:r>
    </w:p>
    <w:p w14:paraId="300C4646"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Provide at least 100 mm of stone-free bedding below and above the cable or duct, and warning tape 200–300 mm above it.</w:t>
      </w:r>
    </w:p>
    <w:p w14:paraId="61F0C903"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Use ducts at crossings, building entries and exposed locations. Respect the cable's minimum bending radius.</w:t>
      </w:r>
    </w:p>
    <w:p w14:paraId="6D5C7345"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lastRenderedPageBreak/>
        <w:t>Use only cables suitable for direct burial or wet duct conditions. Avoid buried joints; any joint needs an approved burial joint kit.</w:t>
      </w:r>
    </w:p>
    <w:p w14:paraId="0EBF0F96"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Backfill in compacted layers without damaging cables. Reinstate surfaces.</w:t>
      </w:r>
    </w:p>
    <w:p w14:paraId="52C5A829"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4. Cable routing and connections</w:t>
      </w:r>
    </w:p>
    <w:p w14:paraId="03D10F5B"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Run cables neatly in straight horizontal or vertical lines, supported by suitable clips, trays or conduits at the spacing the manufacturer recommends.</w:t>
      </w:r>
    </w:p>
    <w:p w14:paraId="0646BD1A"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Cables must not hang from terminals, plugs or fittings. Protect them from sharp edges, heat and sunlight; use UV-resistant accessories outdoors.</w:t>
      </w:r>
    </w:p>
    <w:p w14:paraId="62D133E8"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Use glands and strain relief at every entry. Seal wall and roof penetrations against water and pests.</w:t>
      </w:r>
    </w:p>
    <w:p w14:paraId="0EC14498"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Make all connections inside enclosures with proper terminals. Twisted joints covered with tape are not accepted.</w:t>
      </w:r>
    </w:p>
    <w:p w14:paraId="2771319E"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Label every cable at both ends with its circuit reference.</w:t>
      </w:r>
    </w:p>
    <w:p w14:paraId="3C894F4B"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5. Distribution boards</w:t>
      </w:r>
    </w:p>
    <w:p w14:paraId="7AB3C25D"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Fix boards securely, level and accessible, with clear working space in front. Close all unused openings.</w:t>
      </w:r>
    </w:p>
    <w:p w14:paraId="5D346CFC"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Mount the main switch at about 1,400 mm and no device above 1,800 mm from floor level, unless the approved drawing states otherwise.</w:t>
      </w:r>
    </w:p>
    <w:p w14:paraId="3F45DB7C"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Tighten terminals to the manufacturer's torque. Keep neutral and earth separate as designed; add no extra neutral–earth links.</w:t>
      </w:r>
    </w:p>
    <w:p w14:paraId="7601F903"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Label each board with its name and source of supply, and fix a circuit schedule inside the door.</w:t>
      </w:r>
    </w:p>
    <w:p w14:paraId="44BAE78B"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Check phase balance and protective-device ratings before connecting any onward supply.</w:t>
      </w:r>
    </w:p>
    <w:p w14:paraId="51519849"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6. Sockets, switches and lighting</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gridCol w:w="4438"/>
      </w:tblGrid>
      <w:tr w:rsidR="00CD6753" w:rsidRPr="00945ED5" w14:paraId="68460770" w14:textId="77777777">
        <w:trPr>
          <w:cantSplit/>
          <w:tblHeader/>
        </w:trPr>
        <w:tc>
          <w:tcPr>
            <w:tcW w:w="5200"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424C0BBA"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Item (new installations)</w:t>
            </w:r>
          </w:p>
        </w:tc>
        <w:tc>
          <w:tcPr>
            <w:tcW w:w="4438"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7A6AA4ED"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Height to centre, from finished floor</w:t>
            </w:r>
          </w:p>
        </w:tc>
      </w:tr>
      <w:tr w:rsidR="00CD6753" w:rsidRPr="00945ED5" w14:paraId="3C793343" w14:textId="77777777">
        <w:trPr>
          <w:cantSplit/>
        </w:trPr>
        <w:tc>
          <w:tcPr>
            <w:tcW w:w="52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19850E4"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General indoor socket outlets</w:t>
            </w:r>
          </w:p>
        </w:tc>
        <w:tc>
          <w:tcPr>
            <w:tcW w:w="44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B6428AD"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450 mm</w:t>
            </w:r>
          </w:p>
        </w:tc>
      </w:tr>
      <w:tr w:rsidR="00CD6753" w:rsidRPr="00945ED5" w14:paraId="2DFA9AD4" w14:textId="77777777">
        <w:trPr>
          <w:cantSplit/>
        </w:trPr>
        <w:tc>
          <w:tcPr>
            <w:tcW w:w="52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0B076F2"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Light switches</w:t>
            </w:r>
          </w:p>
        </w:tc>
        <w:tc>
          <w:tcPr>
            <w:tcW w:w="44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CCFE114"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1,100 mm</w:t>
            </w:r>
          </w:p>
        </w:tc>
      </w:tr>
      <w:tr w:rsidR="00CD6753" w:rsidRPr="00945ED5" w14:paraId="4D5FFEE7" w14:textId="77777777">
        <w:trPr>
          <w:cantSplit/>
        </w:trPr>
        <w:tc>
          <w:tcPr>
            <w:tcW w:w="52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2127356"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Sockets above worktops</w:t>
            </w:r>
          </w:p>
        </w:tc>
        <w:tc>
          <w:tcPr>
            <w:tcW w:w="44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8DF6630"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About 200 mm above the worktop</w:t>
            </w:r>
          </w:p>
        </w:tc>
      </w:tr>
      <w:tr w:rsidR="00CD6753" w:rsidRPr="00945ED5" w14:paraId="4BD4E70C" w14:textId="77777777">
        <w:trPr>
          <w:cantSplit/>
        </w:trPr>
        <w:tc>
          <w:tcPr>
            <w:tcW w:w="52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6C2CEFD"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Outdoor sockets</w:t>
            </w:r>
          </w:p>
        </w:tc>
        <w:tc>
          <w:tcPr>
            <w:tcW w:w="44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A8BAF68"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1,200 mm above ground or platform</w:t>
            </w:r>
          </w:p>
        </w:tc>
      </w:tr>
      <w:tr w:rsidR="00CD6753" w:rsidRPr="00945ED5" w14:paraId="1ABC3617" w14:textId="77777777">
        <w:trPr>
          <w:cantSplit/>
        </w:trPr>
        <w:tc>
          <w:tcPr>
            <w:tcW w:w="52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1B08F07"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Wall-mounted indoor lights (where no height is shown)</w:t>
            </w:r>
          </w:p>
        </w:tc>
        <w:tc>
          <w:tcPr>
            <w:tcW w:w="44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D6BC6F3"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2,200–2,500 mm</w:t>
            </w:r>
          </w:p>
        </w:tc>
      </w:tr>
    </w:tbl>
    <w:p w14:paraId="4173D3B7" w14:textId="77777777" w:rsidR="00CD6753" w:rsidRPr="00945ED5" w:rsidRDefault="00CD6753" w:rsidP="00945ED5">
      <w:pPr>
        <w:spacing w:after="60"/>
        <w:jc w:val="both"/>
        <w:rPr>
          <w:rFonts w:ascii="Calibri" w:hAnsi="Calibri" w:cs="Calibri"/>
          <w:sz w:val="22"/>
          <w:szCs w:val="22"/>
        </w:rPr>
      </w:pPr>
    </w:p>
    <w:p w14:paraId="138DF8A3"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 xml:space="preserve">Socket circuits up to 32 A must have RCD protection of </w:t>
      </w:r>
      <w:r>
        <w:rPr>
          <w:rFonts w:ascii="Calibri" w:hAnsi="Calibri" w:cs="Calibri"/>
          <w:b/>
          <w:bCs/>
          <w:sz w:val="22"/>
          <w:szCs w:val="22"/>
        </w:rPr>
        <w:t>30 mA or less</w:t>
      </w:r>
      <w:r>
        <w:rPr>
          <w:rFonts w:ascii="Calibri" w:hAnsi="Calibri" w:cs="Calibri"/>
          <w:sz w:val="22"/>
          <w:szCs w:val="22"/>
        </w:rPr>
        <w:t>. Sockets in shower and wash areas must comply with IEC 60364-7-701 zones.</w:t>
      </w:r>
    </w:p>
    <w:p w14:paraId="488840EF"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Outdoor sockets and fittings must be weatherproof, including when a plug is connected, and placed above any flood level.</w:t>
      </w:r>
    </w:p>
    <w:p w14:paraId="2E2FE1C0"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Fix light fittings to a sound support, never to the cable or a weak ceiling panel alone. Aim outdoor lights at paths, entrances and the perimeter without unnecessary glare.</w:t>
      </w:r>
    </w:p>
    <w:p w14:paraId="7DF43CD1"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7. Earthing and bonding</w:t>
      </w:r>
    </w:p>
    <w:p w14:paraId="1DCE155D"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Follow the approved earthing design on drawing E.1: Cu 25 mm² conductor, electrodes E1–E6 and connection to the main earthing bar.</w:t>
      </w:r>
    </w:p>
    <w:p w14:paraId="061658F2"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Before starting, the supervising engineer confirms the earthing arrangement, electrode depth and the maximum acceptable earth resistance.</w:t>
      </w:r>
    </w:p>
    <w:p w14:paraId="225EEC52"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Use corrosion-resistant buried connections and provide an accessible test point at each electrode.</w:t>
      </w:r>
    </w:p>
    <w:p w14:paraId="2E9CC64E"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lastRenderedPageBreak/>
        <w:t>Bond boards, container and prefab frames and other conductive parts as designed. Do not substitute smaller conductors for the specified Cu 25 mm².</w:t>
      </w:r>
    </w:p>
    <w:p w14:paraId="4F7060DF"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8. Supply sources and energisation</w:t>
      </w:r>
    </w:p>
    <w:p w14:paraId="2541303E" w14:textId="77777777" w:rsidR="00CD6753" w:rsidRPr="00945ED5" w:rsidRDefault="002214AE" w:rsidP="00945ED5">
      <w:pPr>
        <w:spacing w:after="100" w:line="264" w:lineRule="auto"/>
        <w:jc w:val="both"/>
        <w:rPr>
          <w:rFonts w:ascii="Calibri" w:hAnsi="Calibri" w:cs="Calibri"/>
          <w:sz w:val="22"/>
          <w:szCs w:val="22"/>
        </w:rPr>
      </w:pPr>
      <w:r>
        <w:rPr>
          <w:rFonts w:ascii="Calibri" w:hAnsi="Calibri" w:cs="Calibri"/>
          <w:sz w:val="22"/>
          <w:szCs w:val="22"/>
        </w:rPr>
        <w:t xml:space="preserve">The site has several possible sources: solar/battery inverters and a generator, which may start automatically. Before work on any circuit, isolate </w:t>
      </w:r>
      <w:r>
        <w:rPr>
          <w:rFonts w:ascii="Calibri" w:hAnsi="Calibri" w:cs="Calibri"/>
          <w:b/>
          <w:bCs/>
          <w:sz w:val="22"/>
          <w:szCs w:val="22"/>
        </w:rPr>
        <w:t>all</w:t>
      </w:r>
      <w:r>
        <w:rPr>
          <w:rFonts w:ascii="Calibri" w:hAnsi="Calibri" w:cs="Calibri"/>
          <w:sz w:val="22"/>
          <w:szCs w:val="22"/>
        </w:rPr>
        <w:t xml:space="preserve"> sources. The contractor must not change protective settings or make supply interconnections without written approval. Energisation requires written authorisation from UNHCR and confirmation from the hybrid-system installer.</w:t>
      </w:r>
    </w:p>
    <w:p w14:paraId="50E47D35"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9. Health and safety – minimum requirements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7038"/>
      </w:tblGrid>
      <w:tr w:rsidR="00CD6753" w:rsidRPr="00945ED5" w14:paraId="2816FAC3" w14:textId="77777777">
        <w:trPr>
          <w:cantSplit/>
          <w:tblHeader/>
        </w:trPr>
        <w:tc>
          <w:tcPr>
            <w:tcW w:w="2600"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68A44D6B"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Hazard</w:t>
            </w:r>
          </w:p>
        </w:tc>
        <w:tc>
          <w:tcPr>
            <w:tcW w:w="7038"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023AE2AF"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Minimum control</w:t>
            </w:r>
          </w:p>
        </w:tc>
      </w:tr>
      <w:tr w:rsidR="00CD6753" w:rsidRPr="00945ED5" w14:paraId="6E689DE5" w14:textId="77777777">
        <w:trPr>
          <w:cantSplit/>
        </w:trPr>
        <w:tc>
          <w:tcPr>
            <w:tcW w:w="2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49EE49C"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Electric shock</w:t>
            </w:r>
          </w:p>
        </w:tc>
        <w:tc>
          <w:tcPr>
            <w:tcW w:w="70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EB4F004"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Isolate, lock and tag all sources; prove dead with a tested voltage tester; use insulated tools. No live work.</w:t>
            </w:r>
          </w:p>
        </w:tc>
      </w:tr>
      <w:tr w:rsidR="00CD6753" w:rsidRPr="00945ED5" w14:paraId="6B2B3534" w14:textId="77777777">
        <w:trPr>
          <w:cantSplit/>
        </w:trPr>
        <w:tc>
          <w:tcPr>
            <w:tcW w:w="2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E7E4F3B"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Excavation</w:t>
            </w:r>
          </w:p>
        </w:tc>
        <w:tc>
          <w:tcPr>
            <w:tcW w:w="70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EB259C9"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Locate services first; barricade and sign open trenches; keep spoil back from the edge; provide safe access; inspect trenches daily and after rain.</w:t>
            </w:r>
          </w:p>
        </w:tc>
      </w:tr>
      <w:tr w:rsidR="00CD6753" w:rsidRPr="00945ED5" w14:paraId="021D6E23" w14:textId="77777777">
        <w:trPr>
          <w:cantSplit/>
        </w:trPr>
        <w:tc>
          <w:tcPr>
            <w:tcW w:w="2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3A50D24"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Work at height</w:t>
            </w:r>
          </w:p>
        </w:tc>
        <w:tc>
          <w:tcPr>
            <w:tcW w:w="70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DF604A8"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Use sound ladders or platforms on firm ground; keep three points of contact; no work at height alone.</w:t>
            </w:r>
          </w:p>
        </w:tc>
      </w:tr>
      <w:tr w:rsidR="00CD6753" w:rsidRPr="00945ED5" w14:paraId="71DEAE7C" w14:textId="77777777">
        <w:trPr>
          <w:cantSplit/>
        </w:trPr>
        <w:tc>
          <w:tcPr>
            <w:tcW w:w="2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E16E4AB"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Fire</w:t>
            </w:r>
          </w:p>
        </w:tc>
        <w:tc>
          <w:tcPr>
            <w:tcW w:w="70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F4F578E"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Keep a suitable extinguisher at each work area; no hot work without permission; keep the site tidy.</w:t>
            </w:r>
          </w:p>
        </w:tc>
      </w:tr>
      <w:tr w:rsidR="00CD6753" w:rsidRPr="00945ED5" w14:paraId="1720CC04" w14:textId="77777777">
        <w:trPr>
          <w:cantSplit/>
        </w:trPr>
        <w:tc>
          <w:tcPr>
            <w:tcW w:w="2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6D8CB54"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Testing and energisation</w:t>
            </w:r>
          </w:p>
        </w:tc>
        <w:tc>
          <w:tcPr>
            <w:tcW w:w="70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5FD07CB"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Barrier the test area; warn other workers; follow the agreed energisation procedure.</w:t>
            </w:r>
          </w:p>
        </w:tc>
      </w:tr>
      <w:tr w:rsidR="00CD6753" w:rsidRPr="00945ED5" w14:paraId="1739622A" w14:textId="77777777">
        <w:trPr>
          <w:cantSplit/>
        </w:trPr>
        <w:tc>
          <w:tcPr>
            <w:tcW w:w="2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03F840D"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PPE and first aid</w:t>
            </w:r>
          </w:p>
        </w:tc>
        <w:tc>
          <w:tcPr>
            <w:tcW w:w="70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FB9D550"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Helmet, safety shoes, gloves and eye protection as required by the task; a first-aid kit and a trained first-aider on site; emergency contacts displayed.</w:t>
            </w:r>
          </w:p>
        </w:tc>
      </w:tr>
    </w:tbl>
    <w:p w14:paraId="0F77A1BA" w14:textId="77777777" w:rsidR="00CD6753" w:rsidRPr="00945ED5" w:rsidRDefault="002214AE" w:rsidP="00945ED5">
      <w:pPr>
        <w:spacing w:before="60" w:after="60"/>
        <w:jc w:val="both"/>
        <w:rPr>
          <w:rFonts w:ascii="Calibri" w:hAnsi="Calibri" w:cs="Calibri"/>
          <w:sz w:val="22"/>
          <w:szCs w:val="22"/>
        </w:rPr>
      </w:pPr>
      <w:r>
        <w:rPr>
          <w:rFonts w:ascii="Calibri" w:hAnsi="Calibri" w:cs="Calibri"/>
          <w:sz w:val="22"/>
          <w:szCs w:val="22"/>
        </w:rPr>
        <w:t>Report every accident and near miss to UNHCR on the same day. UNHCR may stop any unsafe work.</w:t>
      </w:r>
    </w:p>
    <w:p w14:paraId="7B842672"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10. Inspection hold points</w:t>
      </w:r>
    </w:p>
    <w:p w14:paraId="17C3E75E" w14:textId="77777777" w:rsidR="00CD6753" w:rsidRPr="00945ED5" w:rsidRDefault="002214AE" w:rsidP="00945ED5">
      <w:pPr>
        <w:spacing w:after="100" w:line="264" w:lineRule="auto"/>
        <w:jc w:val="both"/>
        <w:rPr>
          <w:rFonts w:ascii="Calibri" w:hAnsi="Calibri" w:cs="Calibri"/>
          <w:sz w:val="22"/>
          <w:szCs w:val="22"/>
        </w:rPr>
      </w:pPr>
      <w:r>
        <w:rPr>
          <w:rFonts w:ascii="Calibri" w:hAnsi="Calibri" w:cs="Calibri"/>
          <w:sz w:val="22"/>
          <w:szCs w:val="22"/>
        </w:rPr>
        <w:t>Work must not continue past a hold point until the UNHCR representative has inspected and released it, or has waived the inspection in writing.</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0"/>
        <w:gridCol w:w="5638"/>
        <w:gridCol w:w="3400"/>
      </w:tblGrid>
      <w:tr w:rsidR="00CD6753" w:rsidRPr="00945ED5" w14:paraId="394C1558" w14:textId="77777777">
        <w:trPr>
          <w:cantSplit/>
          <w:tblHeader/>
        </w:trPr>
        <w:tc>
          <w:tcPr>
            <w:tcW w:w="600"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518FAFAE"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No.</w:t>
            </w:r>
          </w:p>
        </w:tc>
        <w:tc>
          <w:tcPr>
            <w:tcW w:w="5638"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10537856"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Hold point</w:t>
            </w:r>
          </w:p>
        </w:tc>
        <w:tc>
          <w:tcPr>
            <w:tcW w:w="3400"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6D3C31B6"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Record</w:t>
            </w:r>
          </w:p>
        </w:tc>
      </w:tr>
      <w:tr w:rsidR="00CD6753" w:rsidRPr="00945ED5" w14:paraId="00056A04" w14:textId="77777777">
        <w:trPr>
          <w:cantSplit/>
        </w:trPr>
        <w:tc>
          <w:tcPr>
            <w:tcW w:w="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6DB9F1F"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H1</w:t>
            </w:r>
          </w:p>
        </w:tc>
        <w:tc>
          <w:tcPr>
            <w:tcW w:w="56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2742D0C"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Survey report and material count approved</w:t>
            </w:r>
          </w:p>
        </w:tc>
        <w:tc>
          <w:tcPr>
            <w:tcW w:w="34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5DF0F575"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Signed report and handover record</w:t>
            </w:r>
          </w:p>
        </w:tc>
      </w:tr>
      <w:tr w:rsidR="00CD6753" w:rsidRPr="00945ED5" w14:paraId="76B17974" w14:textId="77777777">
        <w:trPr>
          <w:cantSplit/>
        </w:trPr>
        <w:tc>
          <w:tcPr>
            <w:tcW w:w="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AC0CD21"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H2</w:t>
            </w:r>
          </w:p>
        </w:tc>
        <w:tc>
          <w:tcPr>
            <w:tcW w:w="56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18A553E"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Interface meeting with the hybrid-system installer held</w:t>
            </w:r>
          </w:p>
        </w:tc>
        <w:tc>
          <w:tcPr>
            <w:tcW w:w="34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2F4DC3A"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Meeting minutes</w:t>
            </w:r>
          </w:p>
        </w:tc>
      </w:tr>
      <w:tr w:rsidR="00CD6753" w:rsidRPr="00945ED5" w14:paraId="6A7008AF" w14:textId="77777777">
        <w:trPr>
          <w:cantSplit/>
        </w:trPr>
        <w:tc>
          <w:tcPr>
            <w:tcW w:w="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18D616D"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H3</w:t>
            </w:r>
          </w:p>
        </w:tc>
        <w:tc>
          <w:tcPr>
            <w:tcW w:w="56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7DF3B48"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Trenches, ducts and cables before backfilling</w:t>
            </w:r>
          </w:p>
        </w:tc>
        <w:tc>
          <w:tcPr>
            <w:tcW w:w="34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9F22B32"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Photographs, depths and route sketch</w:t>
            </w:r>
          </w:p>
        </w:tc>
      </w:tr>
      <w:tr w:rsidR="00CD6753" w:rsidRPr="00945ED5" w14:paraId="2704E899" w14:textId="77777777">
        <w:trPr>
          <w:cantSplit/>
        </w:trPr>
        <w:tc>
          <w:tcPr>
            <w:tcW w:w="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670A1483"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H4</w:t>
            </w:r>
          </w:p>
        </w:tc>
        <w:tc>
          <w:tcPr>
            <w:tcW w:w="56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8C1D7DC"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Earth electrodes and buried conductors before covering</w:t>
            </w:r>
          </w:p>
        </w:tc>
        <w:tc>
          <w:tcPr>
            <w:tcW w:w="34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F82C67A"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Photographs and electrode test results</w:t>
            </w:r>
          </w:p>
        </w:tc>
      </w:tr>
      <w:tr w:rsidR="00CD6753" w:rsidRPr="00945ED5" w14:paraId="4ADAE358" w14:textId="77777777">
        <w:trPr>
          <w:cantSplit/>
        </w:trPr>
        <w:tc>
          <w:tcPr>
            <w:tcW w:w="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25C0ADB"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H5</w:t>
            </w:r>
          </w:p>
        </w:tc>
        <w:tc>
          <w:tcPr>
            <w:tcW w:w="56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0191BCC"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Boards and circuits before energisation (dead tests complete)</w:t>
            </w:r>
          </w:p>
        </w:tc>
        <w:tc>
          <w:tcPr>
            <w:tcW w:w="34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E4C2957"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Signed test sheets</w:t>
            </w:r>
          </w:p>
        </w:tc>
      </w:tr>
      <w:tr w:rsidR="00CD6753" w:rsidRPr="00945ED5" w14:paraId="0CFE77A6" w14:textId="77777777">
        <w:trPr>
          <w:cantSplit/>
        </w:trPr>
        <w:tc>
          <w:tcPr>
            <w:tcW w:w="6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A5080CF"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H6</w:t>
            </w:r>
          </w:p>
        </w:tc>
        <w:tc>
          <w:tcPr>
            <w:tcW w:w="5638"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D6A56E0"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Final inspection and handover</w:t>
            </w:r>
          </w:p>
        </w:tc>
        <w:tc>
          <w:tcPr>
            <w:tcW w:w="3400"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3938267"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Defect list closed, handover documents</w:t>
            </w:r>
          </w:p>
        </w:tc>
      </w:tr>
    </w:tbl>
    <w:p w14:paraId="1940C0B2" w14:textId="6195A31A"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11. Testing and commissioning</w:t>
      </w:r>
    </w:p>
    <w:p w14:paraId="642D38A4" w14:textId="77777777" w:rsidR="00CD6753" w:rsidRPr="00945ED5" w:rsidRDefault="002214AE" w:rsidP="00945ED5">
      <w:pPr>
        <w:spacing w:after="100" w:line="264" w:lineRule="auto"/>
        <w:jc w:val="both"/>
        <w:rPr>
          <w:rFonts w:ascii="Calibri" w:hAnsi="Calibri" w:cs="Calibri"/>
          <w:sz w:val="22"/>
          <w:szCs w:val="22"/>
        </w:rPr>
      </w:pPr>
      <w:r>
        <w:rPr>
          <w:rFonts w:ascii="Calibri" w:hAnsi="Calibri" w:cs="Calibri"/>
          <w:sz w:val="22"/>
          <w:szCs w:val="22"/>
        </w:rPr>
        <w:t>Test according to IEC 60364-6, using calibrated instruments (calibration within the last 12 months). The tests include: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19"/>
        <w:gridCol w:w="4819"/>
      </w:tblGrid>
      <w:tr w:rsidR="00CD6753" w:rsidRPr="00945ED5" w14:paraId="70516E9B" w14:textId="77777777">
        <w:trPr>
          <w:cantSplit/>
          <w:tblHeader/>
        </w:trPr>
        <w:tc>
          <w:tcPr>
            <w:tcW w:w="4819"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35E2CC76"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lastRenderedPageBreak/>
              <w:t>Before energisation (dead tests)</w:t>
            </w:r>
          </w:p>
        </w:tc>
        <w:tc>
          <w:tcPr>
            <w:tcW w:w="4819" w:type="dxa"/>
            <w:tcBorders>
              <w:top w:val="single" w:sz="4" w:space="0" w:color="8EA9C8"/>
              <w:left w:val="single" w:sz="4" w:space="0" w:color="8EA9C8"/>
              <w:bottom w:val="single" w:sz="4" w:space="0" w:color="8EA9C8"/>
              <w:right w:val="single" w:sz="4" w:space="0" w:color="8EA9C8"/>
            </w:tcBorders>
            <w:shd w:val="clear" w:color="auto" w:fill="D9E2F3"/>
            <w:tcMar>
              <w:top w:w="50" w:type="dxa"/>
              <w:left w:w="90" w:type="dxa"/>
              <w:bottom w:w="50" w:type="dxa"/>
              <w:right w:w="90" w:type="dxa"/>
            </w:tcMar>
          </w:tcPr>
          <w:p w14:paraId="58CA9F63" w14:textId="77777777" w:rsidR="00CD6753" w:rsidRPr="00945ED5" w:rsidRDefault="002214AE" w:rsidP="00945ED5">
            <w:pPr>
              <w:spacing w:after="20"/>
              <w:jc w:val="both"/>
              <w:rPr>
                <w:rFonts w:ascii="Calibri" w:hAnsi="Calibri" w:cs="Calibri"/>
                <w:sz w:val="22"/>
                <w:szCs w:val="22"/>
              </w:rPr>
            </w:pPr>
            <w:r>
              <w:rPr>
                <w:rFonts w:ascii="Calibri" w:hAnsi="Calibri" w:cs="Calibri"/>
                <w:b/>
                <w:bCs/>
                <w:sz w:val="22"/>
                <w:szCs w:val="22"/>
              </w:rPr>
              <w:t>After energisation (live tests)</w:t>
            </w:r>
          </w:p>
        </w:tc>
      </w:tr>
      <w:tr w:rsidR="00CD6753" w:rsidRPr="00945ED5" w14:paraId="38939E16" w14:textId="77777777">
        <w:trPr>
          <w:cantSplit/>
        </w:trPr>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7F0D21BF"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Visual inspection: materials, ratings, labels, terminations</w:t>
            </w:r>
          </w:p>
        </w:tc>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35D49CE4"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Polarity and phase sequence</w:t>
            </w:r>
          </w:p>
        </w:tc>
      </w:tr>
      <w:tr w:rsidR="00CD6753" w:rsidRPr="00945ED5" w14:paraId="421894A7" w14:textId="77777777">
        <w:trPr>
          <w:cantSplit/>
        </w:trPr>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22481DE"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Continuity of protective and bonding conductors</w:t>
            </w:r>
          </w:p>
        </w:tc>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D96ED41"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Earth fault loop impedance / automatic disconnection</w:t>
            </w:r>
          </w:p>
        </w:tc>
      </w:tr>
      <w:tr w:rsidR="00CD6753" w:rsidRPr="00945ED5" w14:paraId="028712A5" w14:textId="77777777">
        <w:trPr>
          <w:cantSplit/>
        </w:trPr>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440BB3CB"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Insulation resistance (sensitive equipment disconnected)</w:t>
            </w:r>
          </w:p>
        </w:tc>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0FFD4685"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RCD trip time and current</w:t>
            </w:r>
          </w:p>
        </w:tc>
      </w:tr>
      <w:tr w:rsidR="00CD6753" w:rsidRPr="00945ED5" w14:paraId="6CCC2145" w14:textId="77777777">
        <w:trPr>
          <w:cantSplit/>
        </w:trPr>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12E2EB82"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Earth electrode resistance</w:t>
            </w:r>
          </w:p>
        </w:tc>
        <w:tc>
          <w:tcPr>
            <w:tcW w:w="4819" w:type="dxa"/>
            <w:tcBorders>
              <w:top w:val="single" w:sz="4" w:space="0" w:color="8EA9C8"/>
              <w:left w:val="single" w:sz="4" w:space="0" w:color="8EA9C8"/>
              <w:bottom w:val="single" w:sz="4" w:space="0" w:color="8EA9C8"/>
              <w:right w:val="single" w:sz="4" w:space="0" w:color="8EA9C8"/>
            </w:tcBorders>
            <w:tcMar>
              <w:top w:w="50" w:type="dxa"/>
              <w:left w:w="90" w:type="dxa"/>
              <w:bottom w:w="50" w:type="dxa"/>
              <w:right w:w="90" w:type="dxa"/>
            </w:tcMar>
          </w:tcPr>
          <w:p w14:paraId="26718A1C" w14:textId="77777777" w:rsidR="00CD6753" w:rsidRPr="00945ED5" w:rsidRDefault="002214AE" w:rsidP="00945ED5">
            <w:pPr>
              <w:spacing w:after="20"/>
              <w:jc w:val="both"/>
              <w:rPr>
                <w:rFonts w:ascii="Calibri" w:hAnsi="Calibri" w:cs="Calibri"/>
                <w:sz w:val="22"/>
                <w:szCs w:val="22"/>
              </w:rPr>
            </w:pPr>
            <w:r>
              <w:rPr>
                <w:rFonts w:ascii="Calibri" w:hAnsi="Calibri" w:cs="Calibri"/>
                <w:sz w:val="22"/>
                <w:szCs w:val="22"/>
              </w:rPr>
              <w:t>Function of sockets, lights, timers, fans, alarms and the switch enclosure</w:t>
            </w:r>
          </w:p>
        </w:tc>
      </w:tr>
    </w:tbl>
    <w:p w14:paraId="6E2550BF" w14:textId="77777777" w:rsidR="00CD6753" w:rsidRPr="00945ED5" w:rsidRDefault="00CD6753" w:rsidP="00945ED5">
      <w:pPr>
        <w:spacing w:after="60"/>
        <w:jc w:val="both"/>
        <w:rPr>
          <w:rFonts w:ascii="Calibri" w:hAnsi="Calibri" w:cs="Calibri"/>
          <w:sz w:val="22"/>
          <w:szCs w:val="22"/>
        </w:rPr>
      </w:pPr>
    </w:p>
    <w:p w14:paraId="289792D1" w14:textId="77777777" w:rsidR="00CD6753" w:rsidRPr="00945ED5" w:rsidRDefault="002214AE" w:rsidP="00945ED5">
      <w:pPr>
        <w:spacing w:after="100" w:line="264" w:lineRule="auto"/>
        <w:jc w:val="both"/>
        <w:rPr>
          <w:rFonts w:ascii="Calibri" w:hAnsi="Calibri" w:cs="Calibri"/>
          <w:sz w:val="22"/>
          <w:szCs w:val="22"/>
        </w:rPr>
      </w:pPr>
      <w:r>
        <w:rPr>
          <w:rFonts w:ascii="Calibri" w:hAnsi="Calibri" w:cs="Calibri"/>
          <w:sz w:val="22"/>
          <w:szCs w:val="22"/>
        </w:rPr>
        <w:t>Record on signed test sheets: the board and circuit, measured value, acceptance value and pass/fail. Correct any failure and retest. Record the phase loading at each site board.</w:t>
      </w:r>
    </w:p>
    <w:p w14:paraId="59E83743" w14:textId="77777777" w:rsidR="00CD6753" w:rsidRPr="00945ED5" w:rsidRDefault="002214AE" w:rsidP="00945ED5">
      <w:pPr>
        <w:pStyle w:val="Heading1"/>
        <w:keepNext/>
        <w:spacing w:before="240" w:after="100"/>
        <w:jc w:val="both"/>
        <w:rPr>
          <w:rFonts w:ascii="Calibri" w:hAnsi="Calibri" w:cs="Calibri"/>
          <w:color w:val="0070C0"/>
          <w:sz w:val="22"/>
          <w:szCs w:val="22"/>
        </w:rPr>
      </w:pPr>
      <w:r>
        <w:rPr>
          <w:rFonts w:ascii="Calibri" w:hAnsi="Calibri" w:cs="Calibri"/>
          <w:color w:val="0070C0"/>
          <w:sz w:val="22"/>
          <w:szCs w:val="22"/>
        </w:rPr>
        <w:t>12. Handover documents</w:t>
      </w:r>
    </w:p>
    <w:p w14:paraId="3C9CEF4A"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As-built drawings (PDF and editable format) showing actual cable routes, depths, board locations, circuits and earthing; board and circuit schedules; signed test sheets.</w:t>
      </w:r>
    </w:p>
    <w:p w14:paraId="6B94BD93" w14:textId="77777777" w:rsidR="00CD6753" w:rsidRPr="00945ED5" w:rsidRDefault="002214AE" w:rsidP="00945ED5">
      <w:pPr>
        <w:pStyle w:val="ListParagraph"/>
        <w:numPr>
          <w:ilvl w:val="0"/>
          <w:numId w:val="2"/>
        </w:numPr>
        <w:spacing w:after="50" w:line="252" w:lineRule="auto"/>
        <w:jc w:val="both"/>
        <w:rPr>
          <w:rFonts w:ascii="Calibri" w:hAnsi="Calibri" w:cs="Calibri"/>
          <w:sz w:val="22"/>
          <w:szCs w:val="22"/>
        </w:rPr>
      </w:pPr>
      <w:r>
        <w:rPr>
          <w:rFonts w:ascii="Calibri" w:hAnsi="Calibri" w:cs="Calibri"/>
          <w:sz w:val="22"/>
          <w:szCs w:val="22"/>
        </w:rPr>
        <w:t>Photographs of all buried work, the material reconciliation, equipment manuals, the training attendance record and the closed defect list.</w:t>
      </w:r>
    </w:p>
    <w:sectPr w:rsidR="00CD6753" w:rsidRPr="00945ED5">
      <w:footerReference w:type="default" r:id="rId7"/>
      <w:pgSz w:w="11906" w:h="16838"/>
      <w:pgMar w:top="1134" w:right="1134" w:bottom="1134" w:left="1134" w:header="500" w:footer="5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6D1A8" w14:textId="77777777" w:rsidR="00896E13" w:rsidRDefault="00896E13">
      <w:r>
        <w:separator/>
      </w:r>
    </w:p>
  </w:endnote>
  <w:endnote w:type="continuationSeparator" w:id="0">
    <w:p w14:paraId="164E7007" w14:textId="77777777" w:rsidR="00896E13" w:rsidRDefault="00896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8D4E7" w14:textId="66B9C548" w:rsidR="00CD6753" w:rsidRDefault="002214AE">
    <w:pPr>
      <w:pBdr>
        <w:top w:val="single" w:sz="4" w:space="4" w:color="A6A6A6"/>
      </w:pBdr>
      <w:tabs>
        <w:tab w:val="right" w:pos="9638"/>
      </w:tabs>
    </w:pPr>
    <w:r>
      <w:rPr>
        <w:color w:val="595959"/>
        <w:sz w:val="15"/>
        <w:szCs w:val="15"/>
      </w:rPr>
      <w:tab/>
      <w:t xml:space="preserve">Page </w:t>
    </w:r>
    <w:r>
      <w:rPr>
        <w:color w:val="595959"/>
        <w:sz w:val="15"/>
        <w:szCs w:val="15"/>
      </w:rPr>
      <w:fldChar w:fldCharType="begin"/>
    </w:r>
    <w:r>
      <w:rPr>
        <w:color w:val="595959"/>
        <w:sz w:val="15"/>
        <w:szCs w:val="15"/>
      </w:rPr>
      <w:instrText>PAGE</w:instrText>
    </w:r>
    <w:r>
      <w:rPr>
        <w:color w:val="595959"/>
        <w:sz w:val="15"/>
        <w:szCs w:val="15"/>
      </w:rPr>
      <w:fldChar w:fldCharType="separate"/>
    </w:r>
    <w:r w:rsidR="00F2791D">
      <w:rPr>
        <w:noProof/>
        <w:color w:val="595959"/>
        <w:sz w:val="15"/>
        <w:szCs w:val="15"/>
      </w:rPr>
      <w:t>1</w:t>
    </w:r>
    <w:r>
      <w:rPr>
        <w:color w:val="595959"/>
        <w:sz w:val="15"/>
        <w:szCs w:val="15"/>
      </w:rPr>
      <w:fldChar w:fldCharType="end"/>
    </w:r>
    <w:r>
      <w:rPr>
        <w:color w:val="595959"/>
        <w:sz w:val="15"/>
        <w:szCs w:val="15"/>
      </w:rPr>
      <w:t xml:space="preserve"> of </w:t>
    </w:r>
    <w:r>
      <w:rPr>
        <w:color w:val="595959"/>
        <w:sz w:val="15"/>
        <w:szCs w:val="15"/>
      </w:rPr>
      <w:fldChar w:fldCharType="begin"/>
    </w:r>
    <w:r>
      <w:rPr>
        <w:color w:val="595959"/>
        <w:sz w:val="15"/>
        <w:szCs w:val="15"/>
      </w:rPr>
      <w:instrText>NUMPAGES</w:instrText>
    </w:r>
    <w:r>
      <w:rPr>
        <w:color w:val="595959"/>
        <w:sz w:val="15"/>
        <w:szCs w:val="15"/>
      </w:rPr>
      <w:fldChar w:fldCharType="separate"/>
    </w:r>
    <w:r w:rsidR="00F2791D">
      <w:rPr>
        <w:noProof/>
        <w:color w:val="595959"/>
        <w:sz w:val="15"/>
        <w:szCs w:val="15"/>
      </w:rPr>
      <w:t>2</w:t>
    </w:r>
    <w:r>
      <w:rPr>
        <w:color w:val="595959"/>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444D6" w14:textId="77777777" w:rsidR="00896E13" w:rsidRDefault="00896E13">
      <w:r>
        <w:separator/>
      </w:r>
    </w:p>
  </w:footnote>
  <w:footnote w:type="continuationSeparator" w:id="0">
    <w:p w14:paraId="1AED8753" w14:textId="77777777" w:rsidR="00896E13" w:rsidRDefault="00896E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9DE"/>
    <w:multiLevelType w:val="hybridMultilevel"/>
    <w:tmpl w:val="152C96C8"/>
    <w:lvl w:ilvl="0" w:tplc="DA02FCC2" w:tentative="1">
      <w:start w:val="1"/>
      <w:numFmt w:val="bullet"/>
      <w:lvlText w:val="●"/>
      <w:lvlJc w:val="left"/>
      <w:pPr>
        <w:ind w:left="720" w:hanging="360"/>
      </w:pPr>
    </w:lvl>
    <w:lvl w:ilvl="1" w:tplc="36C23664" w:tentative="1">
      <w:start w:val="1"/>
      <w:numFmt w:val="bullet"/>
      <w:lvlText w:val="○"/>
      <w:lvlJc w:val="left"/>
      <w:pPr>
        <w:ind w:left="1440" w:hanging="360"/>
      </w:pPr>
    </w:lvl>
    <w:lvl w:ilvl="2" w:tplc="E26CC770" w:tentative="1">
      <w:start w:val="1"/>
      <w:numFmt w:val="bullet"/>
      <w:lvlText w:val="■"/>
      <w:lvlJc w:val="left"/>
      <w:pPr>
        <w:ind w:left="2160" w:hanging="360"/>
      </w:pPr>
    </w:lvl>
    <w:lvl w:ilvl="3" w:tplc="A1E8AACA" w:tentative="1">
      <w:start w:val="1"/>
      <w:numFmt w:val="bullet"/>
      <w:lvlText w:val="●"/>
      <w:lvlJc w:val="left"/>
      <w:pPr>
        <w:ind w:left="2880" w:hanging="360"/>
      </w:pPr>
    </w:lvl>
    <w:lvl w:ilvl="4" w:tplc="7396AEF2" w:tentative="1">
      <w:start w:val="1"/>
      <w:numFmt w:val="bullet"/>
      <w:lvlText w:val="○"/>
      <w:lvlJc w:val="left"/>
      <w:pPr>
        <w:ind w:left="3600" w:hanging="360"/>
      </w:pPr>
    </w:lvl>
    <w:lvl w:ilvl="5" w:tplc="179643AE" w:tentative="1">
      <w:start w:val="1"/>
      <w:numFmt w:val="bullet"/>
      <w:lvlText w:val="■"/>
      <w:lvlJc w:val="left"/>
      <w:pPr>
        <w:ind w:left="4320" w:hanging="360"/>
      </w:pPr>
    </w:lvl>
    <w:lvl w:ilvl="6" w:tplc="F34096E4" w:tentative="1">
      <w:start w:val="1"/>
      <w:numFmt w:val="bullet"/>
      <w:lvlText w:val="●"/>
      <w:lvlJc w:val="left"/>
      <w:pPr>
        <w:ind w:left="5040" w:hanging="360"/>
      </w:pPr>
    </w:lvl>
    <w:lvl w:ilvl="7" w:tplc="52C4AA3E" w:tentative="1">
      <w:start w:val="1"/>
      <w:numFmt w:val="bullet"/>
      <w:lvlText w:val="●"/>
      <w:lvlJc w:val="left"/>
      <w:pPr>
        <w:ind w:left="5760" w:hanging="360"/>
      </w:pPr>
    </w:lvl>
    <w:lvl w:ilvl="8" w:tplc="96968322" w:tentative="1">
      <w:start w:val="1"/>
      <w:numFmt w:val="bullet"/>
      <w:lvlText w:val="●"/>
      <w:lvlJc w:val="left"/>
      <w:pPr>
        <w:ind w:left="6480" w:hanging="360"/>
      </w:pPr>
    </w:lvl>
  </w:abstractNum>
  <w:abstractNum w:abstractNumId="1" w15:restartNumberingAfterBreak="0">
    <w:nsid w:val="2BB75092"/>
    <w:multiLevelType w:val="hybridMultilevel"/>
    <w:tmpl w:val="78BC22FE"/>
    <w:lvl w:ilvl="0" w:tplc="ECF89854" w:tentative="1">
      <w:start w:val="1"/>
      <w:numFmt w:val="decimal"/>
      <w:lvlText w:val="%1."/>
      <w:lvlJc w:val="left"/>
      <w:pPr>
        <w:ind w:left="500" w:hanging="320"/>
      </w:pPr>
    </w:lvl>
    <w:lvl w:ilvl="1" w:tplc="41049F8E">
      <w:numFmt w:val="decimal"/>
      <w:lvlText w:val=""/>
      <w:lvlJc w:val="left"/>
    </w:lvl>
    <w:lvl w:ilvl="2" w:tplc="90E8B4B0">
      <w:numFmt w:val="decimal"/>
      <w:lvlText w:val=""/>
      <w:lvlJc w:val="left"/>
    </w:lvl>
    <w:lvl w:ilvl="3" w:tplc="7C92578C">
      <w:numFmt w:val="decimal"/>
      <w:lvlText w:val=""/>
      <w:lvlJc w:val="left"/>
    </w:lvl>
    <w:lvl w:ilvl="4" w:tplc="2C2C0B0E">
      <w:numFmt w:val="decimal"/>
      <w:lvlText w:val=""/>
      <w:lvlJc w:val="left"/>
    </w:lvl>
    <w:lvl w:ilvl="5" w:tplc="9C5AD9B8">
      <w:numFmt w:val="decimal"/>
      <w:lvlText w:val=""/>
      <w:lvlJc w:val="left"/>
    </w:lvl>
    <w:lvl w:ilvl="6" w:tplc="1220DD58">
      <w:numFmt w:val="decimal"/>
      <w:lvlText w:val=""/>
      <w:lvlJc w:val="left"/>
    </w:lvl>
    <w:lvl w:ilvl="7" w:tplc="22325ED0">
      <w:numFmt w:val="decimal"/>
      <w:lvlText w:val=""/>
      <w:lvlJc w:val="left"/>
    </w:lvl>
    <w:lvl w:ilvl="8" w:tplc="BA40CF98">
      <w:numFmt w:val="decimal"/>
      <w:lvlText w:val=""/>
      <w:lvlJc w:val="left"/>
    </w:lvl>
  </w:abstractNum>
  <w:abstractNum w:abstractNumId="2" w15:restartNumberingAfterBreak="0">
    <w:nsid w:val="3A451E1C"/>
    <w:multiLevelType w:val="hybridMultilevel"/>
    <w:tmpl w:val="9FB43004"/>
    <w:lvl w:ilvl="0" w:tplc="555AD98E">
      <w:start w:val="1"/>
      <w:numFmt w:val="bullet"/>
      <w:lvlText w:val="•"/>
      <w:lvlJc w:val="left"/>
      <w:pPr>
        <w:ind w:left="500" w:hanging="280"/>
      </w:pPr>
    </w:lvl>
    <w:lvl w:ilvl="1" w:tplc="AA447406" w:tentative="1">
      <w:start w:val="1"/>
      <w:numFmt w:val="bullet"/>
      <w:lvlText w:val="–"/>
      <w:lvlJc w:val="left"/>
      <w:pPr>
        <w:ind w:left="900" w:hanging="280"/>
      </w:pPr>
    </w:lvl>
    <w:lvl w:ilvl="2" w:tplc="846C8ECE">
      <w:numFmt w:val="decimal"/>
      <w:lvlText w:val=""/>
      <w:lvlJc w:val="left"/>
    </w:lvl>
    <w:lvl w:ilvl="3" w:tplc="16A2B2D0">
      <w:numFmt w:val="decimal"/>
      <w:lvlText w:val=""/>
      <w:lvlJc w:val="left"/>
    </w:lvl>
    <w:lvl w:ilvl="4" w:tplc="75F84922">
      <w:numFmt w:val="decimal"/>
      <w:lvlText w:val=""/>
      <w:lvlJc w:val="left"/>
    </w:lvl>
    <w:lvl w:ilvl="5" w:tplc="35C2B0AE">
      <w:numFmt w:val="decimal"/>
      <w:lvlText w:val=""/>
      <w:lvlJc w:val="left"/>
    </w:lvl>
    <w:lvl w:ilvl="6" w:tplc="7F0EBA18">
      <w:numFmt w:val="decimal"/>
      <w:lvlText w:val=""/>
      <w:lvlJc w:val="left"/>
    </w:lvl>
    <w:lvl w:ilvl="7" w:tplc="B9D0D408">
      <w:numFmt w:val="decimal"/>
      <w:lvlText w:val=""/>
      <w:lvlJc w:val="left"/>
    </w:lvl>
    <w:lvl w:ilvl="8" w:tplc="D0529130">
      <w:numFmt w:val="decimal"/>
      <w:lvlText w:val=""/>
      <w:lvlJc w:val="left"/>
    </w:lvl>
  </w:abstractNum>
  <w:abstractNum w:abstractNumId="3" w15:restartNumberingAfterBreak="0">
    <w:nsid w:val="5090663E"/>
    <w:multiLevelType w:val="hybridMultilevel"/>
    <w:tmpl w:val="68643D7C"/>
    <w:lvl w:ilvl="0" w:tplc="2152D37C" w:tentative="1">
      <w:start w:val="1"/>
      <w:numFmt w:val="decimal"/>
      <w:lvlText w:val="%1."/>
      <w:lvlJc w:val="left"/>
      <w:pPr>
        <w:ind w:left="500" w:hanging="320"/>
      </w:pPr>
    </w:lvl>
    <w:lvl w:ilvl="1" w:tplc="D88E38F8">
      <w:numFmt w:val="decimal"/>
      <w:lvlText w:val=""/>
      <w:lvlJc w:val="left"/>
    </w:lvl>
    <w:lvl w:ilvl="2" w:tplc="FB86CC64">
      <w:numFmt w:val="decimal"/>
      <w:lvlText w:val=""/>
      <w:lvlJc w:val="left"/>
    </w:lvl>
    <w:lvl w:ilvl="3" w:tplc="91B2CD26">
      <w:numFmt w:val="decimal"/>
      <w:lvlText w:val=""/>
      <w:lvlJc w:val="left"/>
    </w:lvl>
    <w:lvl w:ilvl="4" w:tplc="A6E4FD0A">
      <w:numFmt w:val="decimal"/>
      <w:lvlText w:val=""/>
      <w:lvlJc w:val="left"/>
    </w:lvl>
    <w:lvl w:ilvl="5" w:tplc="1C8682D2">
      <w:numFmt w:val="decimal"/>
      <w:lvlText w:val=""/>
      <w:lvlJc w:val="left"/>
    </w:lvl>
    <w:lvl w:ilvl="6" w:tplc="3C248B3C">
      <w:numFmt w:val="decimal"/>
      <w:lvlText w:val=""/>
      <w:lvlJc w:val="left"/>
    </w:lvl>
    <w:lvl w:ilvl="7" w:tplc="1354C4E4">
      <w:numFmt w:val="decimal"/>
      <w:lvlText w:val=""/>
      <w:lvlJc w:val="left"/>
    </w:lvl>
    <w:lvl w:ilvl="8" w:tplc="EC4E1356">
      <w:numFmt w:val="decimal"/>
      <w:lvlText w:val=""/>
      <w:lvlJc w:val="left"/>
    </w:lvl>
  </w:abstractNum>
  <w:abstractNum w:abstractNumId="4" w15:restartNumberingAfterBreak="0">
    <w:nsid w:val="657C25C7"/>
    <w:multiLevelType w:val="hybridMultilevel"/>
    <w:tmpl w:val="141E1B3E"/>
    <w:lvl w:ilvl="0" w:tplc="A450FA94" w:tentative="1">
      <w:start w:val="1"/>
      <w:numFmt w:val="decimal"/>
      <w:lvlText w:val="%1."/>
      <w:lvlJc w:val="left"/>
      <w:pPr>
        <w:ind w:left="500" w:hanging="320"/>
      </w:pPr>
    </w:lvl>
    <w:lvl w:ilvl="1" w:tplc="98FA4D1C">
      <w:numFmt w:val="decimal"/>
      <w:lvlText w:val=""/>
      <w:lvlJc w:val="left"/>
    </w:lvl>
    <w:lvl w:ilvl="2" w:tplc="947A95D8">
      <w:numFmt w:val="decimal"/>
      <w:lvlText w:val=""/>
      <w:lvlJc w:val="left"/>
    </w:lvl>
    <w:lvl w:ilvl="3" w:tplc="EA568E3E">
      <w:numFmt w:val="decimal"/>
      <w:lvlText w:val=""/>
      <w:lvlJc w:val="left"/>
    </w:lvl>
    <w:lvl w:ilvl="4" w:tplc="8C0E655C">
      <w:numFmt w:val="decimal"/>
      <w:lvlText w:val=""/>
      <w:lvlJc w:val="left"/>
    </w:lvl>
    <w:lvl w:ilvl="5" w:tplc="19844238">
      <w:numFmt w:val="decimal"/>
      <w:lvlText w:val=""/>
      <w:lvlJc w:val="left"/>
    </w:lvl>
    <w:lvl w:ilvl="6" w:tplc="ECB804EE">
      <w:numFmt w:val="decimal"/>
      <w:lvlText w:val=""/>
      <w:lvlJc w:val="left"/>
    </w:lvl>
    <w:lvl w:ilvl="7" w:tplc="8B3CECAE">
      <w:numFmt w:val="decimal"/>
      <w:lvlText w:val=""/>
      <w:lvlJc w:val="left"/>
    </w:lvl>
    <w:lvl w:ilvl="8" w:tplc="68DE9930">
      <w:numFmt w:val="decimal"/>
      <w:lvlText w:val=""/>
      <w:lvlJc w:val="left"/>
    </w:lvl>
  </w:abstractNum>
  <w:abstractNum w:abstractNumId="5" w15:restartNumberingAfterBreak="0">
    <w:nsid w:val="6B3C3C02"/>
    <w:multiLevelType w:val="hybridMultilevel"/>
    <w:tmpl w:val="9E64EDC6"/>
    <w:lvl w:ilvl="0" w:tplc="68E0B55E" w:tentative="1">
      <w:start w:val="1"/>
      <w:numFmt w:val="decimal"/>
      <w:lvlText w:val="%1."/>
      <w:lvlJc w:val="left"/>
      <w:pPr>
        <w:ind w:left="500" w:hanging="320"/>
      </w:pPr>
    </w:lvl>
    <w:lvl w:ilvl="1" w:tplc="81980D98">
      <w:numFmt w:val="decimal"/>
      <w:lvlText w:val=""/>
      <w:lvlJc w:val="left"/>
    </w:lvl>
    <w:lvl w:ilvl="2" w:tplc="CE447F4E">
      <w:numFmt w:val="decimal"/>
      <w:lvlText w:val=""/>
      <w:lvlJc w:val="left"/>
    </w:lvl>
    <w:lvl w:ilvl="3" w:tplc="5B3A5DCC">
      <w:numFmt w:val="decimal"/>
      <w:lvlText w:val=""/>
      <w:lvlJc w:val="left"/>
    </w:lvl>
    <w:lvl w:ilvl="4" w:tplc="C7D0E8B2">
      <w:numFmt w:val="decimal"/>
      <w:lvlText w:val=""/>
      <w:lvlJc w:val="left"/>
    </w:lvl>
    <w:lvl w:ilvl="5" w:tplc="BCFCBAAC">
      <w:numFmt w:val="decimal"/>
      <w:lvlText w:val=""/>
      <w:lvlJc w:val="left"/>
    </w:lvl>
    <w:lvl w:ilvl="6" w:tplc="0B66ADD0">
      <w:numFmt w:val="decimal"/>
      <w:lvlText w:val=""/>
      <w:lvlJc w:val="left"/>
    </w:lvl>
    <w:lvl w:ilvl="7" w:tplc="94005C6E">
      <w:numFmt w:val="decimal"/>
      <w:lvlText w:val=""/>
      <w:lvlJc w:val="left"/>
    </w:lvl>
    <w:lvl w:ilvl="8" w:tplc="45EA7222">
      <w:numFmt w:val="decimal"/>
      <w:lvlText w:val=""/>
      <w:lvlJc w:val="left"/>
    </w:lvl>
  </w:abstractNum>
  <w:abstractNum w:abstractNumId="6" w15:restartNumberingAfterBreak="0">
    <w:nsid w:val="6E186EBF"/>
    <w:multiLevelType w:val="hybridMultilevel"/>
    <w:tmpl w:val="D92E787A"/>
    <w:lvl w:ilvl="0" w:tplc="5E4CF25A" w:tentative="1">
      <w:start w:val="1"/>
      <w:numFmt w:val="decimal"/>
      <w:lvlText w:val="%1."/>
      <w:lvlJc w:val="left"/>
      <w:pPr>
        <w:ind w:left="500" w:hanging="320"/>
      </w:pPr>
    </w:lvl>
    <w:lvl w:ilvl="1" w:tplc="01D0C38E">
      <w:numFmt w:val="decimal"/>
      <w:lvlText w:val=""/>
      <w:lvlJc w:val="left"/>
    </w:lvl>
    <w:lvl w:ilvl="2" w:tplc="ABA6A360">
      <w:numFmt w:val="decimal"/>
      <w:lvlText w:val=""/>
      <w:lvlJc w:val="left"/>
    </w:lvl>
    <w:lvl w:ilvl="3" w:tplc="1D12A300">
      <w:numFmt w:val="decimal"/>
      <w:lvlText w:val=""/>
      <w:lvlJc w:val="left"/>
    </w:lvl>
    <w:lvl w:ilvl="4" w:tplc="D7043890">
      <w:numFmt w:val="decimal"/>
      <w:lvlText w:val=""/>
      <w:lvlJc w:val="left"/>
    </w:lvl>
    <w:lvl w:ilvl="5" w:tplc="38A0A8D2">
      <w:numFmt w:val="decimal"/>
      <w:lvlText w:val=""/>
      <w:lvlJc w:val="left"/>
    </w:lvl>
    <w:lvl w:ilvl="6" w:tplc="1FDEE512">
      <w:numFmt w:val="decimal"/>
      <w:lvlText w:val=""/>
      <w:lvlJc w:val="left"/>
    </w:lvl>
    <w:lvl w:ilvl="7" w:tplc="7E8EA622">
      <w:numFmt w:val="decimal"/>
      <w:lvlText w:val=""/>
      <w:lvlJc w:val="left"/>
    </w:lvl>
    <w:lvl w:ilvl="8" w:tplc="D374BAA4">
      <w:numFmt w:val="decimal"/>
      <w:lvlText w:val=""/>
      <w:lvlJc w:val="left"/>
    </w:lvl>
  </w:abstractNum>
  <w:num w:numId="1" w16cid:durableId="786856552">
    <w:abstractNumId w:val="0"/>
    <w:lvlOverride w:ilvl="0">
      <w:startOverride w:val="1"/>
    </w:lvlOverride>
  </w:num>
  <w:num w:numId="2" w16cid:durableId="192336699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753"/>
    <w:rsid w:val="00197D81"/>
    <w:rsid w:val="00212FC4"/>
    <w:rsid w:val="002214AE"/>
    <w:rsid w:val="004C6A52"/>
    <w:rsid w:val="004E75F1"/>
    <w:rsid w:val="0077224E"/>
    <w:rsid w:val="00896E13"/>
    <w:rsid w:val="00945ED5"/>
    <w:rsid w:val="00993679"/>
    <w:rsid w:val="00BD01F5"/>
    <w:rsid w:val="00C91E7D"/>
    <w:rsid w:val="00CD6753"/>
    <w:rsid w:val="00F2791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73D9"/>
  <w15:docId w15:val="{6058EBB6-98D4-47D4-9E24-B0DC35CD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bCs/>
      <w:color w:val="1F3864"/>
      <w:sz w:val="24"/>
      <w:szCs w:val="24"/>
    </w:rPr>
  </w:style>
  <w:style w:type="paragraph" w:styleId="Heading2">
    <w:name w:val="heading 2"/>
    <w:basedOn w:val="Normal"/>
    <w:next w:val="Normal"/>
    <w:uiPriority w:val="9"/>
    <w:semiHidden/>
    <w:unhideWhenUsed/>
    <w:qFormat/>
    <w:pPr>
      <w:outlineLvl w:val="1"/>
    </w:pPr>
    <w:rPr>
      <w:b/>
      <w:bCs/>
      <w:color w:val="1F3864"/>
      <w:sz w:val="21"/>
      <w:szCs w:val="21"/>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45ED5"/>
    <w:pPr>
      <w:tabs>
        <w:tab w:val="center" w:pos="4680"/>
        <w:tab w:val="right" w:pos="9360"/>
      </w:tabs>
    </w:pPr>
  </w:style>
  <w:style w:type="character" w:customStyle="1" w:styleId="HeaderChar">
    <w:name w:val="Header Char"/>
    <w:basedOn w:val="DefaultParagraphFont"/>
    <w:link w:val="Header"/>
    <w:uiPriority w:val="99"/>
    <w:rsid w:val="00945ED5"/>
  </w:style>
  <w:style w:type="paragraph" w:styleId="Footer">
    <w:name w:val="footer"/>
    <w:basedOn w:val="Normal"/>
    <w:link w:val="FooterChar"/>
    <w:uiPriority w:val="99"/>
    <w:unhideWhenUsed/>
    <w:rsid w:val="00945ED5"/>
    <w:pPr>
      <w:tabs>
        <w:tab w:val="center" w:pos="4680"/>
        <w:tab w:val="right" w:pos="9360"/>
      </w:tabs>
    </w:pPr>
  </w:style>
  <w:style w:type="character" w:customStyle="1" w:styleId="FooterChar">
    <w:name w:val="Footer Char"/>
    <w:basedOn w:val="DefaultParagraphFont"/>
    <w:link w:val="Footer"/>
    <w:uiPriority w:val="99"/>
    <w:rsid w:val="00945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5ECD119B295D4EB42CC0F8EA361A9E" ma:contentTypeVersion="18" ma:contentTypeDescription="Create a new document." ma:contentTypeScope="" ma:versionID="337e79c1d3983e3f716611f7cdae614e">
  <xsd:schema xmlns:xsd="http://www.w3.org/2001/XMLSchema" xmlns:xs="http://www.w3.org/2001/XMLSchema" xmlns:p="http://schemas.microsoft.com/office/2006/metadata/properties" xmlns:ns2="b1627da7-acac-46ae-ad01-486e6b86018f" xmlns:ns3="2083c997-4600-4ea1-8fd5-dbf854742f6d" targetNamespace="http://schemas.microsoft.com/office/2006/metadata/properties" ma:root="true" ma:fieldsID="312f6565fdecf50887b8587ff98a81d1" ns2:_="" ns3:_="">
    <xsd:import namespace="b1627da7-acac-46ae-ad01-486e6b86018f"/>
    <xsd:import namespace="2083c997-4600-4ea1-8fd5-dbf854742f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627da7-acac-46ae-ad01-486e6b860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5f3f4cc-79b9-4d17-b8fa-dd7577b1fbe8"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83c997-4600-4ea1-8fd5-dbf854742f6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3c696c-4b3f-4658-a802-d290a43504a9}" ma:internalName="TaxCatchAll" ma:showField="CatchAllData" ma:web="2083c997-4600-4ea1-8fd5-dbf854742f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627da7-acac-46ae-ad01-486e6b86018f">
      <Terms xmlns="http://schemas.microsoft.com/office/infopath/2007/PartnerControls"/>
    </lcf76f155ced4ddcb4097134ff3c332f>
    <TaxCatchAll xmlns="2083c997-4600-4ea1-8fd5-dbf854742f6d" xsi:nil="true"/>
  </documentManagement>
</p:properties>
</file>

<file path=customXml/itemProps1.xml><?xml version="1.0" encoding="utf-8"?>
<ds:datastoreItem xmlns:ds="http://schemas.openxmlformats.org/officeDocument/2006/customXml" ds:itemID="{BFA736F9-C91B-4F3E-BD29-C6033E1FEBCC}"/>
</file>

<file path=customXml/itemProps2.xml><?xml version="1.0" encoding="utf-8"?>
<ds:datastoreItem xmlns:ds="http://schemas.openxmlformats.org/officeDocument/2006/customXml" ds:itemID="{F8AB3111-3B7B-44E0-91CE-8BDDBAEF3E3D}"/>
</file>

<file path=customXml/itemProps3.xml><?xml version="1.0" encoding="utf-8"?>
<ds:datastoreItem xmlns:ds="http://schemas.openxmlformats.org/officeDocument/2006/customXml" ds:itemID="{9195A457-F8B3-4238-93E4-5FEB0F342ACE}"/>
</file>

<file path=docProps/app.xml><?xml version="1.0" encoding="utf-8"?>
<Properties xmlns="http://schemas.openxmlformats.org/officeDocument/2006/extended-properties" xmlns:vt="http://schemas.openxmlformats.org/officeDocument/2006/docPropsVTypes">
  <Template>Normal.dotm</Template>
  <TotalTime>0</TotalTime>
  <Pages>4</Pages>
  <Words>1220</Words>
  <Characters>6956</Characters>
  <Application>Microsoft Office Word</Application>
  <DocSecurity>0</DocSecurity>
  <Lines>57</Lines>
  <Paragraphs>16</Paragraphs>
  <ScaleCrop>false</ScaleCrop>
  <Company>HP Inc.</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E – Workmanship, Safety, Testing and Handover Requirements</dc:title>
  <dc:creator>Salvator Ncahinyeretse</dc:creator>
  <cp:lastModifiedBy>Salvator NCAHINYERETSE</cp:lastModifiedBy>
  <cp:revision>2</cp:revision>
  <dcterms:created xsi:type="dcterms:W3CDTF">2026-11-04T09:12:00Z</dcterms:created>
  <dcterms:modified xsi:type="dcterms:W3CDTF">2026-11-04T09:12:00Z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4075c724d4db73cfe5fdaf5b739bf44b70959558a446251592e357e548ac04ea</vt:lpwstr>
  </property>
  <property fmtid="{D5CDD505-2E9C-101B-9397-08002B2CF9AE}" pid="3" name="ContentTypeId">
    <vt:lpwstr>0x010100D55ECD119B295D4EB42CC0F8EA361A9E</vt:lpwstr>
  </property>
</Properties>
</file>